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E12" w:rsidRPr="00A82D22" w:rsidRDefault="008E18C4" w:rsidP="009D39D4">
      <w:pPr>
        <w:spacing w:before="120" w:after="120"/>
        <w:ind w:left="-567" w:right="-432"/>
        <w:jc w:val="center"/>
        <w:rPr>
          <w:rFonts w:ascii="Avenir Black" w:hAnsi="Avenir Black" w:cs="Futura Condensed"/>
          <w:b/>
          <w:bCs/>
          <w:smallCaps/>
          <w:color w:val="8064A2" w:themeColor="accent4"/>
          <w:sz w:val="36"/>
          <w:szCs w:val="36"/>
        </w:rPr>
      </w:pPr>
      <w:bookmarkStart w:id="0" w:name="_GoBack"/>
      <w:bookmarkEnd w:id="0"/>
      <w:r w:rsidRPr="00A82D22">
        <w:rPr>
          <w:rFonts w:ascii="Avenir Black" w:hAnsi="Avenir Black" w:cs="Futura Condensed"/>
          <w:b/>
          <w:bCs/>
          <w:smallCaps/>
          <w:color w:val="8064A2" w:themeColor="accent4"/>
          <w:sz w:val="36"/>
          <w:szCs w:val="36"/>
        </w:rPr>
        <w:t>Demande de financement d’un</w:t>
      </w:r>
      <w:r w:rsidR="00E5528B" w:rsidRPr="00A82D22">
        <w:rPr>
          <w:rFonts w:ascii="Avenir Black" w:hAnsi="Avenir Black" w:cs="Futura Condensed"/>
          <w:b/>
          <w:bCs/>
          <w:smallCaps/>
          <w:color w:val="8064A2" w:themeColor="accent4"/>
          <w:sz w:val="36"/>
          <w:szCs w:val="36"/>
        </w:rPr>
        <w:t xml:space="preserve"> </w:t>
      </w:r>
      <w:r w:rsidR="005B1E12" w:rsidRPr="00A82D22">
        <w:rPr>
          <w:rFonts w:ascii="Avenir Black" w:hAnsi="Avenir Black" w:cs="Futura Condensed"/>
          <w:b/>
          <w:bCs/>
          <w:smallCaps/>
          <w:color w:val="8064A2" w:themeColor="accent4"/>
          <w:sz w:val="36"/>
          <w:szCs w:val="36"/>
        </w:rPr>
        <w:t>« Cours pratiques en biologie de l’Université Paris-Saclay »</w:t>
      </w:r>
    </w:p>
    <w:p w:rsidR="00E06B57" w:rsidRDefault="00E06B57" w:rsidP="00D92903">
      <w:pPr>
        <w:pStyle w:val="Titre1"/>
      </w:pPr>
    </w:p>
    <w:p w:rsidR="005B1E12" w:rsidRPr="00D92903" w:rsidRDefault="00D92903" w:rsidP="00D92903">
      <w:pPr>
        <w:pStyle w:val="Titre1"/>
      </w:pPr>
      <w:r>
        <w:t xml:space="preserve">&gt; </w:t>
      </w:r>
      <w:r w:rsidR="00B50016" w:rsidRPr="00D92903">
        <w:t>O</w:t>
      </w:r>
      <w:r w:rsidR="005B1E12" w:rsidRPr="00D92903">
        <w:t>bjectif</w:t>
      </w:r>
    </w:p>
    <w:p w:rsidR="00B526CD" w:rsidRDefault="008E18C4" w:rsidP="00F22E5E">
      <w:pPr>
        <w:spacing w:before="120" w:after="120"/>
        <w:jc w:val="both"/>
      </w:pPr>
      <w:r>
        <w:t xml:space="preserve">La </w:t>
      </w:r>
      <w:proofErr w:type="spellStart"/>
      <w:r>
        <w:t>school</w:t>
      </w:r>
      <w:proofErr w:type="spellEnd"/>
      <w:r>
        <w:t xml:space="preserve"> Biologie Médecine Pharmacie souhaite poursuivre le soutien au déploiement de </w:t>
      </w:r>
      <w:r w:rsidR="002E47AA">
        <w:t>s</w:t>
      </w:r>
      <w:r>
        <w:t xml:space="preserve">es </w:t>
      </w:r>
      <w:r w:rsidR="002E47AA" w:rsidRPr="002E47AA">
        <w:rPr>
          <w:i/>
        </w:rPr>
        <w:t>C</w:t>
      </w:r>
      <w:r w:rsidRPr="002E47AA">
        <w:rPr>
          <w:i/>
        </w:rPr>
        <w:t>ours pratiques</w:t>
      </w:r>
      <w:r>
        <w:t xml:space="preserve"> en consacrant une partie de son budget </w:t>
      </w:r>
      <w:r w:rsidR="00E06B57">
        <w:t>2018</w:t>
      </w:r>
      <w:r w:rsidR="006A2ABF">
        <w:t xml:space="preserve"> </w:t>
      </w:r>
      <w:r>
        <w:t>à l’achat d’équipements</w:t>
      </w:r>
      <w:r w:rsidR="000276B0">
        <w:t xml:space="preserve"> utiles à leur mise en œuv</w:t>
      </w:r>
      <w:r w:rsidR="002B45BA">
        <w:t xml:space="preserve">re. </w:t>
      </w:r>
      <w:r w:rsidR="002B45BA" w:rsidRPr="002E47AA">
        <w:rPr>
          <w:b/>
        </w:rPr>
        <w:t xml:space="preserve">Ces financements concernent les UE labellisées </w:t>
      </w:r>
      <w:r w:rsidR="005F52E9">
        <w:rPr>
          <w:b/>
        </w:rPr>
        <w:t>depuis 2016</w:t>
      </w:r>
      <w:r w:rsidR="002B45BA" w:rsidRPr="002E47AA">
        <w:rPr>
          <w:b/>
        </w:rPr>
        <w:t>.</w:t>
      </w:r>
    </w:p>
    <w:p w:rsidR="006D38C0" w:rsidRDefault="006D38C0" w:rsidP="00F22E5E">
      <w:pPr>
        <w:spacing w:before="120" w:after="120"/>
        <w:jc w:val="both"/>
      </w:pPr>
      <w:r>
        <w:t xml:space="preserve">La présente demande de financement pourra </w:t>
      </w:r>
      <w:r w:rsidR="00E06B57">
        <w:t>concerner</w:t>
      </w:r>
      <w:r>
        <w:t xml:space="preserve"> un ou plusieurs équipements</w:t>
      </w:r>
      <w:r w:rsidR="001102E3">
        <w:t xml:space="preserve"> (y-compris les petits équipements comme par exemple des </w:t>
      </w:r>
      <w:proofErr w:type="spellStart"/>
      <w:r w:rsidR="001102E3">
        <w:t>pipetmans</w:t>
      </w:r>
      <w:proofErr w:type="spellEnd"/>
      <w:r w:rsidR="001102E3">
        <w:t xml:space="preserve">) </w:t>
      </w:r>
      <w:r>
        <w:t xml:space="preserve"> par cours pratique</w:t>
      </w:r>
      <w:r w:rsidR="002B45BA">
        <w:t>,</w:t>
      </w:r>
      <w:r>
        <w:t xml:space="preserve"> pour un montant maximal de 6 k€.</w:t>
      </w:r>
      <w:r w:rsidR="00D60A78">
        <w:t xml:space="preserve"> Il n’est pas demandé de co-financement.</w:t>
      </w:r>
    </w:p>
    <w:p w:rsidR="005321A6" w:rsidRDefault="005321A6" w:rsidP="00242777">
      <w:pPr>
        <w:spacing w:before="120" w:after="240"/>
        <w:jc w:val="both"/>
      </w:pPr>
      <w:r>
        <w:t>Les financements de consommables et des frais liés à l’accueil d’un conférencier ne sont pas éligible</w:t>
      </w:r>
      <w:r w:rsidR="002B45BA">
        <w:t>s</w:t>
      </w:r>
      <w:r>
        <w:t xml:space="preserve"> à cet appel.</w:t>
      </w:r>
    </w:p>
    <w:p w:rsidR="004A462E" w:rsidRDefault="00D92903" w:rsidP="00D92903">
      <w:pPr>
        <w:pStyle w:val="Titre1"/>
      </w:pPr>
      <w:r>
        <w:t xml:space="preserve">&gt; </w:t>
      </w:r>
      <w:r w:rsidR="006D38C0">
        <w:t>Échéancier</w:t>
      </w:r>
    </w:p>
    <w:p w:rsidR="007B4DA8" w:rsidRDefault="006D38C0" w:rsidP="007B4DA8">
      <w:pPr>
        <w:spacing w:before="120" w:after="120"/>
        <w:jc w:val="both"/>
      </w:pPr>
      <w:r w:rsidRPr="00D04826">
        <w:t xml:space="preserve">La présente demande </w:t>
      </w:r>
      <w:r w:rsidR="00FA1251" w:rsidRPr="00D04826">
        <w:t xml:space="preserve">devra être adressée, </w:t>
      </w:r>
      <w:r w:rsidR="006A2ABF" w:rsidRPr="00D04826">
        <w:t>revêtue</w:t>
      </w:r>
      <w:r w:rsidR="00FA1251" w:rsidRPr="00D04826">
        <w:t xml:space="preserve"> des devis correspondant</w:t>
      </w:r>
      <w:r w:rsidR="005720B7" w:rsidRPr="00D04826">
        <w:t>s</w:t>
      </w:r>
      <w:r w:rsidR="00FA1251" w:rsidRPr="00D04826">
        <w:t xml:space="preserve">, </w:t>
      </w:r>
      <w:r w:rsidR="005720B7" w:rsidRPr="00D04826">
        <w:rPr>
          <w:b/>
        </w:rPr>
        <w:t>selon l’échéancier ci-dessous</w:t>
      </w:r>
      <w:r w:rsidR="00FA1251" w:rsidRPr="00D04826">
        <w:t xml:space="preserve"> à </w:t>
      </w:r>
      <w:r w:rsidR="005720B7" w:rsidRPr="00D04826">
        <w:t>l’adresse</w:t>
      </w:r>
      <w:r w:rsidR="00E06B57">
        <w:t xml:space="preserve"> de GASNOT Gaëtan, assistant</w:t>
      </w:r>
      <w:r w:rsidR="007B4DA8">
        <w:t xml:space="preserve"> de la </w:t>
      </w:r>
      <w:proofErr w:type="spellStart"/>
      <w:r w:rsidR="007B4DA8">
        <w:t>school</w:t>
      </w:r>
      <w:proofErr w:type="spellEnd"/>
      <w:r w:rsidR="007B4DA8">
        <w:t xml:space="preserve"> BMP, via l’adresse :  </w:t>
      </w:r>
      <w:hyperlink r:id="rId7" w:history="1">
        <w:r w:rsidR="00E06B57" w:rsidRPr="006726A4">
          <w:rPr>
            <w:rStyle w:val="Lienhypertexte"/>
            <w:rFonts w:ascii="Calibri" w:eastAsia="Times New Roman" w:hAnsi="Calibri" w:cs="Times New Roman"/>
            <w:sz w:val="22"/>
            <w:szCs w:val="22"/>
            <w:lang w:eastAsia="en-US"/>
          </w:rPr>
          <w:t>gaetan.gasnot@universite-paris-saclay.fr</w:t>
        </w:r>
      </w:hyperlink>
      <w:r w:rsidR="007B4DA8">
        <w:t xml:space="preserve"> .</w:t>
      </w:r>
    </w:p>
    <w:p w:rsidR="008E50B8" w:rsidRDefault="00D04826" w:rsidP="0034210B">
      <w:pPr>
        <w:spacing w:before="120" w:after="120"/>
        <w:jc w:val="both"/>
      </w:pPr>
      <w:r>
        <w:t>Deux échéances sont proposées :</w:t>
      </w:r>
    </w:p>
    <w:p w:rsidR="008C3CB6" w:rsidRDefault="00D04826" w:rsidP="00A82D22">
      <w:pPr>
        <w:pStyle w:val="Paragraphedeliste"/>
        <w:numPr>
          <w:ilvl w:val="0"/>
          <w:numId w:val="2"/>
        </w:numPr>
        <w:spacing w:before="120" w:after="120"/>
        <w:ind w:left="426" w:hanging="357"/>
        <w:contextualSpacing w:val="0"/>
        <w:jc w:val="both"/>
      </w:pPr>
      <w:proofErr w:type="gramStart"/>
      <w:r>
        <w:t>une</w:t>
      </w:r>
      <w:proofErr w:type="gramEnd"/>
      <w:r>
        <w:t xml:space="preserve"> </w:t>
      </w:r>
      <w:r w:rsidRPr="001572ED">
        <w:rPr>
          <w:b/>
        </w:rPr>
        <w:t>échéance courte</w:t>
      </w:r>
      <w:r w:rsidR="008C3CB6">
        <w:t xml:space="preserve"> (pour ceux pour lesquels cela s’y prête)</w:t>
      </w:r>
      <w:r>
        <w:t xml:space="preserve">, pour des </w:t>
      </w:r>
      <w:r w:rsidR="00A9605E">
        <w:t>demandes</w:t>
      </w:r>
      <w:r>
        <w:t xml:space="preserve"> d’un montant </w:t>
      </w:r>
      <w:r w:rsidR="00A9605E">
        <w:t xml:space="preserve">total </w:t>
      </w:r>
      <w:r>
        <w:t xml:space="preserve">inférieur à </w:t>
      </w:r>
      <w:r w:rsidR="002902FF" w:rsidRPr="001572ED">
        <w:rPr>
          <w:b/>
        </w:rPr>
        <w:t>5</w:t>
      </w:r>
      <w:r w:rsidRPr="001572ED">
        <w:rPr>
          <w:b/>
        </w:rPr>
        <w:t xml:space="preserve"> k€</w:t>
      </w:r>
      <w:r w:rsidR="00AF5039" w:rsidRPr="001572ED">
        <w:rPr>
          <w:rStyle w:val="Appelnotedebasdep"/>
          <w:b/>
        </w:rPr>
        <w:footnoteReference w:id="1"/>
      </w:r>
      <w:r w:rsidRPr="001572ED">
        <w:rPr>
          <w:b/>
        </w:rPr>
        <w:t>,</w:t>
      </w:r>
      <w:r>
        <w:t xml:space="preserve"> </w:t>
      </w:r>
      <w:r w:rsidR="008C3CB6">
        <w:t>pour lesquels</w:t>
      </w:r>
      <w:r>
        <w:t xml:space="preserve"> la réponse sera formulée l</w:t>
      </w:r>
      <w:r w:rsidR="008C3CB6">
        <w:t xml:space="preserve">e </w:t>
      </w:r>
      <w:r w:rsidR="008C3CB6" w:rsidRPr="000629E0">
        <w:rPr>
          <w:b/>
        </w:rPr>
        <w:t>31 octobre</w:t>
      </w:r>
      <w:r w:rsidR="008C3CB6">
        <w:t xml:space="preserve">, </w:t>
      </w:r>
      <w:r>
        <w:t>et dont l’engagement pourra être effectué avant le 15 novembre</w:t>
      </w:r>
      <w:r w:rsidR="008C3CB6">
        <w:t> ;</w:t>
      </w:r>
    </w:p>
    <w:p w:rsidR="00D04826" w:rsidRDefault="008C3CB6" w:rsidP="00A82D22">
      <w:pPr>
        <w:pStyle w:val="Paragraphedeliste"/>
        <w:numPr>
          <w:ilvl w:val="0"/>
          <w:numId w:val="2"/>
        </w:numPr>
        <w:spacing w:before="120" w:after="120"/>
        <w:ind w:left="426" w:hanging="357"/>
        <w:contextualSpacing w:val="0"/>
        <w:jc w:val="both"/>
      </w:pPr>
      <w:proofErr w:type="gramStart"/>
      <w:r>
        <w:t>une</w:t>
      </w:r>
      <w:proofErr w:type="gramEnd"/>
      <w:r>
        <w:t xml:space="preserve"> </w:t>
      </w:r>
      <w:r w:rsidRPr="000629E0">
        <w:rPr>
          <w:b/>
        </w:rPr>
        <w:t>échéance plus longue</w:t>
      </w:r>
      <w:r>
        <w:t xml:space="preserve">, </w:t>
      </w:r>
      <w:r w:rsidR="00A9605E">
        <w:t xml:space="preserve">d’un montant inférieur à </w:t>
      </w:r>
      <w:r w:rsidR="00A9605E" w:rsidRPr="001572ED">
        <w:rPr>
          <w:b/>
        </w:rPr>
        <w:t>6 k€</w:t>
      </w:r>
      <w:r>
        <w:t xml:space="preserve">, avec une réponse formulée lors de la séance plénière de la </w:t>
      </w:r>
      <w:proofErr w:type="spellStart"/>
      <w:r>
        <w:t>school</w:t>
      </w:r>
      <w:proofErr w:type="spellEnd"/>
      <w:r>
        <w:t xml:space="preserve"> </w:t>
      </w:r>
      <w:r w:rsidR="00A82D22">
        <w:t xml:space="preserve">à la </w:t>
      </w:r>
      <w:r w:rsidR="00A82D22" w:rsidRPr="00A82D22">
        <w:rPr>
          <w:b/>
        </w:rPr>
        <w:t>mi</w:t>
      </w:r>
      <w:r w:rsidR="00A82D22">
        <w:rPr>
          <w:b/>
        </w:rPr>
        <w:t>-</w:t>
      </w:r>
      <w:r w:rsidRPr="000629E0">
        <w:rPr>
          <w:b/>
        </w:rPr>
        <w:t>décembre</w:t>
      </w:r>
      <w:r>
        <w:t>, et dont l’engagement sera effectué au début de l’année 201</w:t>
      </w:r>
      <w:r w:rsidR="00BA26D7">
        <w:t>9</w:t>
      </w:r>
      <w:r>
        <w:t>.</w:t>
      </w:r>
    </w:p>
    <w:tbl>
      <w:tblPr>
        <w:tblStyle w:val="Grilledutableau"/>
        <w:tblW w:w="0" w:type="auto"/>
        <w:jc w:val="center"/>
        <w:tblLook w:val="04A0" w:firstRow="1" w:lastRow="0" w:firstColumn="1" w:lastColumn="0" w:noHBand="0" w:noVBand="1"/>
      </w:tblPr>
      <w:tblGrid>
        <w:gridCol w:w="1285"/>
        <w:gridCol w:w="1253"/>
        <w:gridCol w:w="1381"/>
        <w:gridCol w:w="1273"/>
        <w:gridCol w:w="1295"/>
        <w:gridCol w:w="1276"/>
        <w:gridCol w:w="1519"/>
      </w:tblGrid>
      <w:tr w:rsidR="003E0163" w:rsidRPr="003E0163" w:rsidTr="00E30B7F">
        <w:trPr>
          <w:jc w:val="center"/>
        </w:trPr>
        <w:tc>
          <w:tcPr>
            <w:tcW w:w="1285" w:type="dxa"/>
            <w:vMerge w:val="restart"/>
            <w:vAlign w:val="center"/>
          </w:tcPr>
          <w:p w:rsidR="003E0163" w:rsidRPr="003E0163" w:rsidRDefault="003E0163" w:rsidP="003E0163">
            <w:pPr>
              <w:spacing w:before="120" w:after="120"/>
              <w:jc w:val="center"/>
              <w:rPr>
                <w:rFonts w:asciiTheme="majorHAnsi" w:hAnsiTheme="majorHAnsi" w:cstheme="majorHAnsi"/>
                <w:sz w:val="22"/>
              </w:rPr>
            </w:pPr>
          </w:p>
        </w:tc>
        <w:tc>
          <w:tcPr>
            <w:tcW w:w="1253" w:type="dxa"/>
            <w:vMerge w:val="restart"/>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Montant maximal par cours pratique</w:t>
            </w:r>
          </w:p>
        </w:tc>
        <w:tc>
          <w:tcPr>
            <w:tcW w:w="1381" w:type="dxa"/>
            <w:vMerge w:val="restart"/>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25-oct</w:t>
            </w:r>
          </w:p>
        </w:tc>
        <w:tc>
          <w:tcPr>
            <w:tcW w:w="1273"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 xml:space="preserve">Bureau de la </w:t>
            </w:r>
            <w:proofErr w:type="spellStart"/>
            <w:r w:rsidRPr="003E0163">
              <w:rPr>
                <w:rFonts w:asciiTheme="majorHAnsi" w:hAnsiTheme="majorHAnsi" w:cstheme="majorHAnsi"/>
                <w:sz w:val="22"/>
              </w:rPr>
              <w:t>school</w:t>
            </w:r>
            <w:proofErr w:type="spellEnd"/>
          </w:p>
        </w:tc>
        <w:tc>
          <w:tcPr>
            <w:tcW w:w="1295" w:type="dxa"/>
            <w:vMerge w:val="restart"/>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 xml:space="preserve">07 - </w:t>
            </w:r>
            <w:proofErr w:type="spellStart"/>
            <w:r w:rsidRPr="003E0163">
              <w:rPr>
                <w:rFonts w:asciiTheme="majorHAnsi" w:hAnsiTheme="majorHAnsi" w:cstheme="majorHAnsi"/>
                <w:sz w:val="22"/>
              </w:rPr>
              <w:t>dec</w:t>
            </w:r>
            <w:proofErr w:type="spellEnd"/>
          </w:p>
        </w:tc>
        <w:tc>
          <w:tcPr>
            <w:tcW w:w="1276"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Séance plénière</w:t>
            </w:r>
          </w:p>
        </w:tc>
        <w:tc>
          <w:tcPr>
            <w:tcW w:w="1519" w:type="dxa"/>
            <w:vMerge w:val="restart"/>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Contrainte sur l'engagement de la dépense</w:t>
            </w:r>
          </w:p>
        </w:tc>
      </w:tr>
      <w:tr w:rsidR="003E0163" w:rsidRPr="003E0163" w:rsidTr="00E30B7F">
        <w:trPr>
          <w:jc w:val="center"/>
        </w:trPr>
        <w:tc>
          <w:tcPr>
            <w:tcW w:w="1285" w:type="dxa"/>
            <w:vMerge/>
            <w:vAlign w:val="center"/>
          </w:tcPr>
          <w:p w:rsidR="003E0163" w:rsidRPr="003E0163" w:rsidRDefault="003E0163" w:rsidP="003E0163">
            <w:pPr>
              <w:spacing w:before="120" w:after="120"/>
              <w:jc w:val="center"/>
              <w:rPr>
                <w:rFonts w:asciiTheme="majorHAnsi" w:hAnsiTheme="majorHAnsi" w:cstheme="majorHAnsi"/>
                <w:sz w:val="22"/>
              </w:rPr>
            </w:pPr>
          </w:p>
        </w:tc>
        <w:tc>
          <w:tcPr>
            <w:tcW w:w="1253" w:type="dxa"/>
            <w:vMerge/>
            <w:vAlign w:val="center"/>
          </w:tcPr>
          <w:p w:rsidR="003E0163" w:rsidRPr="003E0163" w:rsidRDefault="003E0163" w:rsidP="003E0163">
            <w:pPr>
              <w:spacing w:before="120" w:after="120"/>
              <w:jc w:val="center"/>
              <w:rPr>
                <w:rFonts w:asciiTheme="majorHAnsi" w:hAnsiTheme="majorHAnsi" w:cstheme="majorHAnsi"/>
                <w:sz w:val="22"/>
              </w:rPr>
            </w:pPr>
          </w:p>
        </w:tc>
        <w:tc>
          <w:tcPr>
            <w:tcW w:w="1381" w:type="dxa"/>
            <w:vMerge/>
            <w:vAlign w:val="center"/>
          </w:tcPr>
          <w:p w:rsidR="003E0163" w:rsidRPr="003E0163" w:rsidRDefault="003E0163" w:rsidP="003E0163">
            <w:pPr>
              <w:spacing w:before="120" w:after="120"/>
              <w:jc w:val="center"/>
              <w:rPr>
                <w:rFonts w:asciiTheme="majorHAnsi" w:hAnsiTheme="majorHAnsi" w:cstheme="majorHAnsi"/>
                <w:sz w:val="22"/>
              </w:rPr>
            </w:pPr>
          </w:p>
        </w:tc>
        <w:tc>
          <w:tcPr>
            <w:tcW w:w="1273"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31-oct</w:t>
            </w:r>
          </w:p>
        </w:tc>
        <w:tc>
          <w:tcPr>
            <w:tcW w:w="1295" w:type="dxa"/>
            <w:vMerge/>
            <w:vAlign w:val="center"/>
          </w:tcPr>
          <w:p w:rsidR="003E0163" w:rsidRPr="003E0163" w:rsidRDefault="003E0163" w:rsidP="003E0163">
            <w:pPr>
              <w:spacing w:before="120" w:after="120"/>
              <w:jc w:val="center"/>
              <w:rPr>
                <w:rFonts w:asciiTheme="majorHAnsi" w:hAnsiTheme="majorHAnsi" w:cstheme="majorHAnsi"/>
                <w:sz w:val="22"/>
              </w:rPr>
            </w:pPr>
          </w:p>
        </w:tc>
        <w:tc>
          <w:tcPr>
            <w:tcW w:w="1276" w:type="dxa"/>
            <w:vAlign w:val="center"/>
          </w:tcPr>
          <w:p w:rsidR="003E0163" w:rsidRPr="003E0163" w:rsidRDefault="003E0163" w:rsidP="003E0163">
            <w:pPr>
              <w:spacing w:before="120" w:after="120"/>
              <w:jc w:val="center"/>
              <w:rPr>
                <w:rFonts w:asciiTheme="majorHAnsi" w:hAnsiTheme="majorHAnsi" w:cstheme="majorHAnsi"/>
                <w:sz w:val="22"/>
              </w:rPr>
            </w:pPr>
            <w:proofErr w:type="spellStart"/>
            <w:proofErr w:type="gramStart"/>
            <w:r w:rsidRPr="003E0163">
              <w:rPr>
                <w:rFonts w:asciiTheme="majorHAnsi" w:hAnsiTheme="majorHAnsi" w:cstheme="majorHAnsi"/>
                <w:sz w:val="22"/>
              </w:rPr>
              <w:t>mi</w:t>
            </w:r>
            <w:proofErr w:type="gramEnd"/>
            <w:r w:rsidRPr="003E0163">
              <w:rPr>
                <w:rFonts w:asciiTheme="majorHAnsi" w:hAnsiTheme="majorHAnsi" w:cstheme="majorHAnsi"/>
                <w:sz w:val="22"/>
              </w:rPr>
              <w:t>-dec</w:t>
            </w:r>
            <w:proofErr w:type="spellEnd"/>
          </w:p>
        </w:tc>
        <w:tc>
          <w:tcPr>
            <w:tcW w:w="1519" w:type="dxa"/>
            <w:vMerge/>
            <w:vAlign w:val="center"/>
          </w:tcPr>
          <w:p w:rsidR="003E0163" w:rsidRPr="003E0163" w:rsidRDefault="003E0163" w:rsidP="003E0163">
            <w:pPr>
              <w:spacing w:before="120" w:after="120"/>
              <w:jc w:val="center"/>
              <w:rPr>
                <w:rFonts w:asciiTheme="majorHAnsi" w:hAnsiTheme="majorHAnsi" w:cstheme="majorHAnsi"/>
                <w:sz w:val="22"/>
              </w:rPr>
            </w:pPr>
          </w:p>
        </w:tc>
      </w:tr>
      <w:tr w:rsidR="003E0163" w:rsidRPr="003E0163" w:rsidTr="00E30B7F">
        <w:trPr>
          <w:jc w:val="center"/>
        </w:trPr>
        <w:tc>
          <w:tcPr>
            <w:tcW w:w="1285"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Modalité 1</w:t>
            </w:r>
          </w:p>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Echéance courte</w:t>
            </w:r>
          </w:p>
        </w:tc>
        <w:tc>
          <w:tcPr>
            <w:tcW w:w="1253"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5 k€</w:t>
            </w:r>
          </w:p>
        </w:tc>
        <w:tc>
          <w:tcPr>
            <w:tcW w:w="1381"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Soumission</w:t>
            </w:r>
          </w:p>
        </w:tc>
        <w:tc>
          <w:tcPr>
            <w:tcW w:w="1273"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Examen et décision</w:t>
            </w:r>
          </w:p>
        </w:tc>
        <w:tc>
          <w:tcPr>
            <w:tcW w:w="1295" w:type="dxa"/>
            <w:vAlign w:val="center"/>
          </w:tcPr>
          <w:p w:rsidR="003E0163" w:rsidRPr="003E0163" w:rsidRDefault="003E0163" w:rsidP="003E0163">
            <w:pPr>
              <w:spacing w:before="120" w:after="120"/>
              <w:jc w:val="center"/>
              <w:rPr>
                <w:rFonts w:asciiTheme="majorHAnsi" w:hAnsiTheme="majorHAnsi" w:cstheme="majorHAnsi"/>
                <w:sz w:val="22"/>
              </w:rPr>
            </w:pPr>
          </w:p>
        </w:tc>
        <w:tc>
          <w:tcPr>
            <w:tcW w:w="1276" w:type="dxa"/>
            <w:vAlign w:val="center"/>
          </w:tcPr>
          <w:p w:rsidR="003E0163" w:rsidRPr="003E0163" w:rsidRDefault="003E0163" w:rsidP="003E0163">
            <w:pPr>
              <w:spacing w:before="120" w:after="120"/>
              <w:jc w:val="center"/>
              <w:rPr>
                <w:rFonts w:asciiTheme="majorHAnsi" w:hAnsiTheme="majorHAnsi" w:cstheme="majorHAnsi"/>
                <w:sz w:val="22"/>
              </w:rPr>
            </w:pPr>
          </w:p>
        </w:tc>
        <w:tc>
          <w:tcPr>
            <w:tcW w:w="1519" w:type="dxa"/>
            <w:vAlign w:val="center"/>
          </w:tcPr>
          <w:p w:rsidR="00DE53DB"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Avant le</w:t>
            </w:r>
          </w:p>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1</w:t>
            </w:r>
            <w:r w:rsidR="00DE53DB">
              <w:rPr>
                <w:rFonts w:asciiTheme="majorHAnsi" w:hAnsiTheme="majorHAnsi" w:cstheme="majorHAnsi"/>
                <w:sz w:val="22"/>
              </w:rPr>
              <w:t>5</w:t>
            </w:r>
            <w:r w:rsidRPr="003E0163">
              <w:rPr>
                <w:rFonts w:asciiTheme="majorHAnsi" w:hAnsiTheme="majorHAnsi" w:cstheme="majorHAnsi"/>
                <w:sz w:val="22"/>
              </w:rPr>
              <w:t>-nov</w:t>
            </w:r>
          </w:p>
        </w:tc>
      </w:tr>
      <w:tr w:rsidR="003E0163" w:rsidRPr="003E0163" w:rsidTr="00E30B7F">
        <w:trPr>
          <w:jc w:val="center"/>
        </w:trPr>
        <w:tc>
          <w:tcPr>
            <w:tcW w:w="1285"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Modalité 2</w:t>
            </w:r>
          </w:p>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Echéance retardée</w:t>
            </w:r>
          </w:p>
        </w:tc>
        <w:tc>
          <w:tcPr>
            <w:tcW w:w="1253"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6 k€</w:t>
            </w:r>
          </w:p>
        </w:tc>
        <w:tc>
          <w:tcPr>
            <w:tcW w:w="1381" w:type="dxa"/>
            <w:vAlign w:val="center"/>
          </w:tcPr>
          <w:p w:rsidR="003E0163" w:rsidRPr="003E0163" w:rsidRDefault="003E0163" w:rsidP="003E0163">
            <w:pPr>
              <w:spacing w:before="120" w:after="120"/>
              <w:jc w:val="center"/>
              <w:rPr>
                <w:rFonts w:asciiTheme="majorHAnsi" w:hAnsiTheme="majorHAnsi" w:cstheme="majorHAnsi"/>
                <w:sz w:val="22"/>
              </w:rPr>
            </w:pPr>
          </w:p>
        </w:tc>
        <w:tc>
          <w:tcPr>
            <w:tcW w:w="1273" w:type="dxa"/>
            <w:vAlign w:val="center"/>
          </w:tcPr>
          <w:p w:rsidR="003E0163" w:rsidRPr="003E0163" w:rsidRDefault="003E0163" w:rsidP="003E0163">
            <w:pPr>
              <w:spacing w:before="120" w:after="120"/>
              <w:jc w:val="center"/>
              <w:rPr>
                <w:rFonts w:asciiTheme="majorHAnsi" w:hAnsiTheme="majorHAnsi" w:cstheme="majorHAnsi"/>
                <w:sz w:val="22"/>
              </w:rPr>
            </w:pPr>
          </w:p>
        </w:tc>
        <w:tc>
          <w:tcPr>
            <w:tcW w:w="1295"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Soumission</w:t>
            </w:r>
          </w:p>
        </w:tc>
        <w:tc>
          <w:tcPr>
            <w:tcW w:w="1276"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Examen et décision</w:t>
            </w:r>
          </w:p>
        </w:tc>
        <w:tc>
          <w:tcPr>
            <w:tcW w:w="1519" w:type="dxa"/>
            <w:vAlign w:val="center"/>
          </w:tcPr>
          <w:p w:rsidR="003E0163" w:rsidRPr="003E0163" w:rsidRDefault="003E0163" w:rsidP="003E0163">
            <w:pPr>
              <w:spacing w:before="120" w:after="120"/>
              <w:jc w:val="center"/>
              <w:rPr>
                <w:rFonts w:asciiTheme="majorHAnsi" w:hAnsiTheme="majorHAnsi" w:cstheme="majorHAnsi"/>
                <w:sz w:val="22"/>
              </w:rPr>
            </w:pPr>
            <w:r w:rsidRPr="003E0163">
              <w:rPr>
                <w:rFonts w:asciiTheme="majorHAnsi" w:hAnsiTheme="majorHAnsi" w:cstheme="majorHAnsi"/>
                <w:sz w:val="22"/>
              </w:rPr>
              <w:t xml:space="preserve">Après </w:t>
            </w:r>
            <w:proofErr w:type="spellStart"/>
            <w:r w:rsidRPr="003E0163">
              <w:rPr>
                <w:rFonts w:asciiTheme="majorHAnsi" w:hAnsiTheme="majorHAnsi" w:cstheme="majorHAnsi"/>
                <w:sz w:val="22"/>
              </w:rPr>
              <w:t>mi-janv</w:t>
            </w:r>
            <w:proofErr w:type="spellEnd"/>
          </w:p>
        </w:tc>
      </w:tr>
    </w:tbl>
    <w:p w:rsidR="003E0163" w:rsidRDefault="003E0163" w:rsidP="003E0163">
      <w:pPr>
        <w:spacing w:before="120" w:after="120"/>
        <w:jc w:val="both"/>
      </w:pPr>
    </w:p>
    <w:p w:rsidR="0034210B" w:rsidRPr="00F234D4" w:rsidRDefault="0034210B" w:rsidP="00F22E5E">
      <w:pPr>
        <w:spacing w:before="120" w:after="120"/>
        <w:jc w:val="both"/>
      </w:pPr>
    </w:p>
    <w:p w:rsidR="0034210B" w:rsidRPr="001653C3" w:rsidRDefault="00A82D22" w:rsidP="001653C3">
      <w:pPr>
        <w:ind w:left="1134" w:right="1269"/>
        <w:jc w:val="center"/>
        <w:rPr>
          <w:rFonts w:ascii="Avenir Black" w:hAnsi="Avenir Black"/>
          <w:b/>
          <w:color w:val="8064A2" w:themeColor="accent4"/>
          <w:sz w:val="36"/>
          <w:szCs w:val="36"/>
        </w:rPr>
      </w:pPr>
      <w:r w:rsidRPr="001653C3">
        <w:rPr>
          <w:rFonts w:ascii="Avenir Black" w:hAnsi="Avenir Black"/>
          <w:b/>
          <w:color w:val="8064A2" w:themeColor="accent4"/>
          <w:sz w:val="36"/>
          <w:szCs w:val="36"/>
        </w:rPr>
        <w:t>Formulaire de demande de financement</w:t>
      </w:r>
    </w:p>
    <w:p w:rsidR="000629E0" w:rsidRPr="000629E0" w:rsidRDefault="000629E0" w:rsidP="000629E0"/>
    <w:p w:rsidR="00341D16" w:rsidRDefault="00D92903" w:rsidP="00D92903">
      <w:pPr>
        <w:pStyle w:val="Titre1"/>
      </w:pPr>
      <w:r>
        <w:t xml:space="preserve">&gt; </w:t>
      </w:r>
      <w:r w:rsidR="0065532A">
        <w:t>Identification du Cours pratique</w:t>
      </w:r>
      <w:r w:rsidR="00341D16">
        <w:t xml:space="preserve"> concerné</w:t>
      </w:r>
    </w:p>
    <w:p w:rsidR="008E50B8" w:rsidRDefault="0042176D" w:rsidP="00F22E5E">
      <w:pPr>
        <w:spacing w:before="120" w:after="120"/>
        <w:jc w:val="both"/>
        <w:rPr>
          <w:sz w:val="18"/>
          <w:szCs w:val="18"/>
        </w:rPr>
      </w:pPr>
      <w:r w:rsidRPr="00D92903">
        <w:rPr>
          <w:sz w:val="18"/>
          <w:szCs w:val="18"/>
        </w:rPr>
        <w:t>Indiquez</w:t>
      </w:r>
      <w:r w:rsidR="00341D16" w:rsidRPr="00D92903">
        <w:rPr>
          <w:sz w:val="18"/>
          <w:szCs w:val="18"/>
        </w:rPr>
        <w:t xml:space="preserve"> le nom de l’UE et rappeler l’identité de son(ses) responsable(s).</w:t>
      </w:r>
      <w:r w:rsidR="008352D4" w:rsidRPr="00D92903">
        <w:rPr>
          <w:sz w:val="18"/>
          <w:szCs w:val="18"/>
        </w:rPr>
        <w:t xml:space="preserve"> Rappeler les effectifs des étudiants inscrit</w:t>
      </w:r>
      <w:r w:rsidR="00AF2BEE" w:rsidRPr="00D92903">
        <w:rPr>
          <w:sz w:val="18"/>
          <w:szCs w:val="18"/>
        </w:rPr>
        <w:t>s</w:t>
      </w:r>
      <w:r w:rsidR="008352D4" w:rsidRPr="00D92903">
        <w:rPr>
          <w:sz w:val="18"/>
          <w:szCs w:val="18"/>
        </w:rPr>
        <w:t xml:space="preserve"> à cette UE en 2016-2017 et en 2017-2018.</w:t>
      </w:r>
    </w:p>
    <w:p w:rsidR="00E06B57" w:rsidRPr="00D92903" w:rsidRDefault="00E06B57" w:rsidP="00E06B57">
      <w:pPr>
        <w:pBdr>
          <w:top w:val="single" w:sz="4" w:space="1" w:color="auto"/>
          <w:left w:val="single" w:sz="4" w:space="4" w:color="auto"/>
          <w:bottom w:val="single" w:sz="4" w:space="1" w:color="auto"/>
          <w:right w:val="single" w:sz="4" w:space="4" w:color="auto"/>
        </w:pBdr>
        <w:spacing w:before="120" w:after="120"/>
        <w:jc w:val="both"/>
        <w:rPr>
          <w:sz w:val="18"/>
          <w:szCs w:val="18"/>
        </w:rPr>
      </w:pPr>
    </w:p>
    <w:p w:rsidR="0042176D" w:rsidRPr="001F2581" w:rsidRDefault="00D92903" w:rsidP="00D92903">
      <w:pPr>
        <w:pStyle w:val="Titre1"/>
        <w:spacing w:before="360"/>
      </w:pPr>
      <w:r>
        <w:t xml:space="preserve">&gt; </w:t>
      </w:r>
      <w:r w:rsidR="001F2581">
        <w:t>Justification</w:t>
      </w:r>
      <w:r w:rsidR="001F2581" w:rsidRPr="001F2581">
        <w:t xml:space="preserve"> pédagogique</w:t>
      </w:r>
      <w:r w:rsidR="0042176D" w:rsidRPr="001F2581">
        <w:t xml:space="preserve"> de la demande de financement</w:t>
      </w:r>
    </w:p>
    <w:p w:rsidR="008E50B8" w:rsidRDefault="0042176D" w:rsidP="00F22E5E">
      <w:pPr>
        <w:spacing w:before="120" w:after="120"/>
        <w:jc w:val="both"/>
        <w:rPr>
          <w:sz w:val="18"/>
          <w:szCs w:val="18"/>
        </w:rPr>
      </w:pPr>
      <w:r w:rsidRPr="00D92903">
        <w:rPr>
          <w:sz w:val="18"/>
          <w:szCs w:val="18"/>
        </w:rPr>
        <w:t xml:space="preserve">Rappelez le principe du fil conducteur de l’UE puis expliquez </w:t>
      </w:r>
      <w:r w:rsidR="00491EA4" w:rsidRPr="00D92903">
        <w:rPr>
          <w:sz w:val="18"/>
          <w:szCs w:val="18"/>
        </w:rPr>
        <w:t>en quoi l’acquisition de l’équipement faciliterait son développement. Vous préciserez également si l’équipement vient étoffer une plateforme déjà présente, s’il permet de développer un nouvel axe pédagogique, et s’il modifie les capacités d’accueil de l’UE.</w:t>
      </w:r>
    </w:p>
    <w:p w:rsidR="00E06B57" w:rsidRPr="00D92903" w:rsidRDefault="00E06B57" w:rsidP="00E06B57">
      <w:pPr>
        <w:pBdr>
          <w:top w:val="single" w:sz="4" w:space="1" w:color="auto"/>
          <w:left w:val="single" w:sz="4" w:space="4" w:color="auto"/>
          <w:bottom w:val="single" w:sz="4" w:space="1" w:color="auto"/>
          <w:right w:val="single" w:sz="4" w:space="4" w:color="auto"/>
        </w:pBdr>
        <w:spacing w:before="120" w:after="120"/>
        <w:jc w:val="both"/>
        <w:rPr>
          <w:sz w:val="18"/>
          <w:szCs w:val="18"/>
        </w:rPr>
      </w:pPr>
    </w:p>
    <w:p w:rsidR="00E06B57" w:rsidRPr="00E06B57" w:rsidRDefault="00D92903" w:rsidP="00E06B57">
      <w:pPr>
        <w:pStyle w:val="Titre1"/>
        <w:spacing w:before="360"/>
      </w:pPr>
      <w:r>
        <w:t xml:space="preserve">&gt; </w:t>
      </w:r>
      <w:r w:rsidR="001F2581">
        <w:t xml:space="preserve">Choix de l’équipement </w:t>
      </w:r>
      <w:r w:rsidR="001C03F2">
        <w:t>proposé</w:t>
      </w:r>
      <w:r w:rsidR="001F2581">
        <w:t xml:space="preserve"> pour remplir les objectifs pédagogiques</w:t>
      </w:r>
      <w:r w:rsidR="00AF2BEE">
        <w:t xml:space="preserve"> -  Joindre un devis</w:t>
      </w:r>
    </w:p>
    <w:p w:rsidR="008345C2" w:rsidRPr="00D92903" w:rsidRDefault="008345C2" w:rsidP="008345C2">
      <w:pPr>
        <w:spacing w:before="120" w:after="120"/>
        <w:jc w:val="both"/>
        <w:rPr>
          <w:sz w:val="18"/>
          <w:szCs w:val="18"/>
        </w:rPr>
      </w:pPr>
      <w:r w:rsidRPr="00D92903">
        <w:rPr>
          <w:sz w:val="18"/>
          <w:szCs w:val="18"/>
        </w:rPr>
        <w:t xml:space="preserve">Indiquez la nature de l’équipement, son montant TTC, et les principales caractéristiques requises pour son utilisation </w:t>
      </w:r>
      <w:r w:rsidR="0072427E" w:rsidRPr="00D92903">
        <w:rPr>
          <w:sz w:val="18"/>
          <w:szCs w:val="18"/>
        </w:rPr>
        <w:t xml:space="preserve">dans le cadre du cours pratique, en soulignant le lien entre les </w:t>
      </w:r>
      <w:r w:rsidR="00D60A78" w:rsidRPr="00D92903">
        <w:rPr>
          <w:sz w:val="18"/>
          <w:szCs w:val="18"/>
        </w:rPr>
        <w:t>caractéristiques</w:t>
      </w:r>
      <w:r w:rsidR="0072427E" w:rsidRPr="00D92903">
        <w:rPr>
          <w:sz w:val="18"/>
          <w:szCs w:val="18"/>
        </w:rPr>
        <w:t xml:space="preserve"> de l’équipement et les enjeux pédagogiques présentés au 4-.</w:t>
      </w:r>
    </w:p>
    <w:p w:rsidR="00AE2D51" w:rsidRDefault="00AE2D51" w:rsidP="0034210B">
      <w:pPr>
        <w:pBdr>
          <w:top w:val="single" w:sz="4" w:space="1" w:color="auto"/>
          <w:left w:val="single" w:sz="4" w:space="4" w:color="auto"/>
          <w:bottom w:val="single" w:sz="4" w:space="1" w:color="auto"/>
          <w:right w:val="single" w:sz="4" w:space="4" w:color="auto"/>
        </w:pBdr>
        <w:spacing w:before="120" w:after="120"/>
        <w:jc w:val="both"/>
      </w:pPr>
    </w:p>
    <w:p w:rsidR="008345C2" w:rsidRDefault="008345C2" w:rsidP="00F22E5E">
      <w:pPr>
        <w:spacing w:before="120" w:after="120"/>
        <w:jc w:val="both"/>
      </w:pPr>
    </w:p>
    <w:p w:rsidR="008345C2" w:rsidRDefault="008345C2" w:rsidP="00F22E5E">
      <w:pPr>
        <w:spacing w:before="120" w:after="120"/>
        <w:jc w:val="both"/>
      </w:pPr>
    </w:p>
    <w:sectPr w:rsidR="008345C2" w:rsidSect="00643B65">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A5C" w:rsidRDefault="00712A5C" w:rsidP="00230528">
      <w:r>
        <w:separator/>
      </w:r>
    </w:p>
  </w:endnote>
  <w:endnote w:type="continuationSeparator" w:id="0">
    <w:p w:rsidR="00712A5C" w:rsidRDefault="00712A5C" w:rsidP="0023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 Black">
    <w:panose1 w:val="020B0803020203020204"/>
    <w:charset w:val="4D"/>
    <w:family w:val="swiss"/>
    <w:pitch w:val="variable"/>
    <w:sig w:usb0="800000AF" w:usb1="5000204A" w:usb2="00000000" w:usb3="00000000" w:csb0="0000009B" w:csb1="00000000"/>
  </w:font>
  <w:font w:name="Futura Condensed">
    <w:altName w:val="Arial"/>
    <w:panose1 w:val="020B0506020204030204"/>
    <w:charset w:val="00"/>
    <w:family w:val="auto"/>
    <w:pitch w:val="variable"/>
    <w:sig w:usb0="00000000" w:usb1="00000000" w:usb2="00000000" w:usb3="00000000" w:csb0="000001FB"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51" w:rsidRDefault="00AE2D51" w:rsidP="008E18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E2D51" w:rsidRDefault="00AE2D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51" w:rsidRDefault="00AE2D51" w:rsidP="008E18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06B57">
      <w:rPr>
        <w:rStyle w:val="Numrodepage"/>
        <w:noProof/>
      </w:rPr>
      <w:t>1</w:t>
    </w:r>
    <w:r>
      <w:rPr>
        <w:rStyle w:val="Numrodepage"/>
      </w:rPr>
      <w:fldChar w:fldCharType="end"/>
    </w:r>
  </w:p>
  <w:p w:rsidR="00AE2D51" w:rsidRDefault="00AE2D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A5C" w:rsidRDefault="00712A5C" w:rsidP="00230528">
      <w:r>
        <w:separator/>
      </w:r>
    </w:p>
  </w:footnote>
  <w:footnote w:type="continuationSeparator" w:id="0">
    <w:p w:rsidR="00712A5C" w:rsidRDefault="00712A5C" w:rsidP="00230528">
      <w:r>
        <w:continuationSeparator/>
      </w:r>
    </w:p>
  </w:footnote>
  <w:footnote w:id="1">
    <w:p w:rsidR="00AE2D51" w:rsidRPr="00A82D22" w:rsidRDefault="00AE2D51">
      <w:pPr>
        <w:pStyle w:val="Notedebasdepage"/>
        <w:rPr>
          <w:sz w:val="20"/>
          <w:szCs w:val="20"/>
        </w:rPr>
      </w:pPr>
      <w:r w:rsidRPr="00A82D22">
        <w:rPr>
          <w:rStyle w:val="Appelnotedebasdep"/>
          <w:sz w:val="20"/>
          <w:szCs w:val="20"/>
        </w:rPr>
        <w:footnoteRef/>
      </w:r>
      <w:r w:rsidRPr="00A82D22">
        <w:rPr>
          <w:sz w:val="20"/>
          <w:szCs w:val="20"/>
        </w:rPr>
        <w:t xml:space="preserve"> Un financement d’un montant inférieur à 5 k€ peut être accordé par le bureau de la </w:t>
      </w:r>
      <w:proofErr w:type="spellStart"/>
      <w:r w:rsidRPr="00A82D22">
        <w:rPr>
          <w:sz w:val="20"/>
          <w:szCs w:val="20"/>
        </w:rPr>
        <w:t>school</w:t>
      </w:r>
      <w:proofErr w:type="spellEnd"/>
      <w:r w:rsidRPr="00A82D22">
        <w:rPr>
          <w:sz w:val="20"/>
          <w:szCs w:val="20"/>
        </w:rPr>
        <w:t xml:space="preserve">, qui en rend compte </w:t>
      </w:r>
      <w:r w:rsidRPr="00A82D22">
        <w:rPr>
          <w:i/>
          <w:sz w:val="20"/>
          <w:szCs w:val="20"/>
        </w:rPr>
        <w:t>ex post</w:t>
      </w:r>
      <w:r w:rsidRPr="00A82D22">
        <w:rPr>
          <w:sz w:val="20"/>
          <w:szCs w:val="20"/>
        </w:rPr>
        <w:t xml:space="preserve"> lors de la séance plénière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2D51" w:rsidRDefault="00AE2D51">
    <w:pPr>
      <w:pStyle w:val="En-tte"/>
    </w:pPr>
    <w:r>
      <w:rPr>
        <w:noProof/>
      </w:rPr>
      <w:drawing>
        <wp:anchor distT="0" distB="0" distL="114300" distR="114300" simplePos="0" relativeHeight="251658240" behindDoc="0" locked="0" layoutInCell="1" allowOverlap="1" wp14:anchorId="168E63F6" wp14:editId="05913AA6">
          <wp:simplePos x="0" y="0"/>
          <wp:positionH relativeFrom="column">
            <wp:posOffset>1485900</wp:posOffset>
          </wp:positionH>
          <wp:positionV relativeFrom="paragraph">
            <wp:posOffset>-349885</wp:posOffset>
          </wp:positionV>
          <wp:extent cx="2743200" cy="61056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1056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102AD"/>
    <w:multiLevelType w:val="hybridMultilevel"/>
    <w:tmpl w:val="7CBCC948"/>
    <w:lvl w:ilvl="0" w:tplc="68FC2A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8C75878"/>
    <w:multiLevelType w:val="hybridMultilevel"/>
    <w:tmpl w:val="CCC43352"/>
    <w:lvl w:ilvl="0" w:tplc="FE443B8C">
      <w:start w:val="5"/>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12"/>
    <w:rsid w:val="000236C4"/>
    <w:rsid w:val="000276B0"/>
    <w:rsid w:val="00034870"/>
    <w:rsid w:val="00051256"/>
    <w:rsid w:val="000629E0"/>
    <w:rsid w:val="00065C55"/>
    <w:rsid w:val="000B29BC"/>
    <w:rsid w:val="000C037A"/>
    <w:rsid w:val="000F205C"/>
    <w:rsid w:val="000F623B"/>
    <w:rsid w:val="001102E3"/>
    <w:rsid w:val="001572ED"/>
    <w:rsid w:val="00157321"/>
    <w:rsid w:val="001625D6"/>
    <w:rsid w:val="0016327C"/>
    <w:rsid w:val="001653C3"/>
    <w:rsid w:val="001A62DF"/>
    <w:rsid w:val="001C03F2"/>
    <w:rsid w:val="001F2581"/>
    <w:rsid w:val="002267C5"/>
    <w:rsid w:val="00230528"/>
    <w:rsid w:val="0023260A"/>
    <w:rsid w:val="00242777"/>
    <w:rsid w:val="00256F14"/>
    <w:rsid w:val="0025719F"/>
    <w:rsid w:val="002902FF"/>
    <w:rsid w:val="002B1FBA"/>
    <w:rsid w:val="002B45BA"/>
    <w:rsid w:val="002C07BB"/>
    <w:rsid w:val="002E1938"/>
    <w:rsid w:val="002E47AA"/>
    <w:rsid w:val="00341D16"/>
    <w:rsid w:val="0034210B"/>
    <w:rsid w:val="003E0163"/>
    <w:rsid w:val="00404D25"/>
    <w:rsid w:val="0042176D"/>
    <w:rsid w:val="00423603"/>
    <w:rsid w:val="00426FA2"/>
    <w:rsid w:val="0048138F"/>
    <w:rsid w:val="00487561"/>
    <w:rsid w:val="00491EA4"/>
    <w:rsid w:val="004A462E"/>
    <w:rsid w:val="004D4D44"/>
    <w:rsid w:val="004F1BB7"/>
    <w:rsid w:val="005321A6"/>
    <w:rsid w:val="005477A1"/>
    <w:rsid w:val="00547B4B"/>
    <w:rsid w:val="005720B7"/>
    <w:rsid w:val="005B1E12"/>
    <w:rsid w:val="005D5FA6"/>
    <w:rsid w:val="005F52E9"/>
    <w:rsid w:val="006132C6"/>
    <w:rsid w:val="00643B65"/>
    <w:rsid w:val="0065532A"/>
    <w:rsid w:val="00673878"/>
    <w:rsid w:val="006A2AAB"/>
    <w:rsid w:val="006A2ABF"/>
    <w:rsid w:val="006B1672"/>
    <w:rsid w:val="006D38C0"/>
    <w:rsid w:val="00711F30"/>
    <w:rsid w:val="00712A5C"/>
    <w:rsid w:val="0072427E"/>
    <w:rsid w:val="00746D07"/>
    <w:rsid w:val="00773851"/>
    <w:rsid w:val="00793601"/>
    <w:rsid w:val="007B4DA8"/>
    <w:rsid w:val="007C137A"/>
    <w:rsid w:val="007C21AB"/>
    <w:rsid w:val="007D6E72"/>
    <w:rsid w:val="008031CE"/>
    <w:rsid w:val="00814E26"/>
    <w:rsid w:val="00816ACF"/>
    <w:rsid w:val="008307EE"/>
    <w:rsid w:val="008345C2"/>
    <w:rsid w:val="008352D4"/>
    <w:rsid w:val="008636F2"/>
    <w:rsid w:val="008C3CB6"/>
    <w:rsid w:val="008C58B4"/>
    <w:rsid w:val="008D09A5"/>
    <w:rsid w:val="008E15A5"/>
    <w:rsid w:val="008E18C4"/>
    <w:rsid w:val="008E50B8"/>
    <w:rsid w:val="00904EA7"/>
    <w:rsid w:val="0090731D"/>
    <w:rsid w:val="009275E9"/>
    <w:rsid w:val="009347B5"/>
    <w:rsid w:val="00960F4C"/>
    <w:rsid w:val="00972CEE"/>
    <w:rsid w:val="009967E7"/>
    <w:rsid w:val="009D39D4"/>
    <w:rsid w:val="009E74D2"/>
    <w:rsid w:val="00A82D22"/>
    <w:rsid w:val="00A92F3B"/>
    <w:rsid w:val="00A9605E"/>
    <w:rsid w:val="00AD2DC5"/>
    <w:rsid w:val="00AE0870"/>
    <w:rsid w:val="00AE2D51"/>
    <w:rsid w:val="00AF2BEE"/>
    <w:rsid w:val="00AF5039"/>
    <w:rsid w:val="00B12573"/>
    <w:rsid w:val="00B50016"/>
    <w:rsid w:val="00B526CD"/>
    <w:rsid w:val="00B617E8"/>
    <w:rsid w:val="00B65835"/>
    <w:rsid w:val="00B86EF2"/>
    <w:rsid w:val="00BA26D7"/>
    <w:rsid w:val="00BB7BDB"/>
    <w:rsid w:val="00BE4AEF"/>
    <w:rsid w:val="00C1521C"/>
    <w:rsid w:val="00C34790"/>
    <w:rsid w:val="00CA4447"/>
    <w:rsid w:val="00D0340A"/>
    <w:rsid w:val="00D04826"/>
    <w:rsid w:val="00D47DE8"/>
    <w:rsid w:val="00D60A78"/>
    <w:rsid w:val="00D71FEE"/>
    <w:rsid w:val="00D910EE"/>
    <w:rsid w:val="00D92903"/>
    <w:rsid w:val="00DA50F7"/>
    <w:rsid w:val="00DE128D"/>
    <w:rsid w:val="00DE53DB"/>
    <w:rsid w:val="00E03C2A"/>
    <w:rsid w:val="00E05D9A"/>
    <w:rsid w:val="00E06B57"/>
    <w:rsid w:val="00E30B7F"/>
    <w:rsid w:val="00E5528B"/>
    <w:rsid w:val="00E872EF"/>
    <w:rsid w:val="00EB1522"/>
    <w:rsid w:val="00EF5F23"/>
    <w:rsid w:val="00F0652B"/>
    <w:rsid w:val="00F22E5E"/>
    <w:rsid w:val="00F234D4"/>
    <w:rsid w:val="00F26BE1"/>
    <w:rsid w:val="00F91CD1"/>
    <w:rsid w:val="00FA1251"/>
    <w:rsid w:val="00FD77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7D306B39-B17F-4F23-9C31-738DE9F7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92903"/>
    <w:pPr>
      <w:spacing w:before="120" w:after="120"/>
      <w:ind w:left="-567"/>
      <w:jc w:val="both"/>
      <w:outlineLvl w:val="0"/>
    </w:pPr>
    <w:rPr>
      <w:rFonts w:ascii="Avenir Black" w:hAnsi="Avenir Black" w:cs="Futura Condensed"/>
      <w:b/>
      <w:sz w:val="32"/>
      <w:szCs w:val="32"/>
    </w:rPr>
  </w:style>
  <w:style w:type="paragraph" w:styleId="Titre2">
    <w:name w:val="heading 2"/>
    <w:basedOn w:val="Normal"/>
    <w:next w:val="Normal"/>
    <w:link w:val="Titre2Car"/>
    <w:uiPriority w:val="9"/>
    <w:unhideWhenUsed/>
    <w:qFormat/>
    <w:rsid w:val="00B65835"/>
    <w:pPr>
      <w:spacing w:before="120" w:after="120"/>
      <w:jc w:val="both"/>
      <w:outlineLvl w:val="1"/>
    </w:pPr>
    <w:rPr>
      <w:rFonts w:ascii="Futura Condensed" w:hAnsi="Futura Condensed" w:cs="Futura Condensed"/>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E12"/>
    <w:pPr>
      <w:ind w:left="720"/>
      <w:contextualSpacing/>
    </w:pPr>
  </w:style>
  <w:style w:type="character" w:customStyle="1" w:styleId="Titre1Car">
    <w:name w:val="Titre 1 Car"/>
    <w:basedOn w:val="Policepardfaut"/>
    <w:link w:val="Titre1"/>
    <w:uiPriority w:val="9"/>
    <w:rsid w:val="00D92903"/>
    <w:rPr>
      <w:rFonts w:ascii="Avenir Black" w:hAnsi="Avenir Black" w:cs="Futura Condensed"/>
      <w:b/>
      <w:sz w:val="32"/>
      <w:szCs w:val="32"/>
    </w:rPr>
  </w:style>
  <w:style w:type="character" w:customStyle="1" w:styleId="Titre2Car">
    <w:name w:val="Titre 2 Car"/>
    <w:basedOn w:val="Policepardfaut"/>
    <w:link w:val="Titre2"/>
    <w:uiPriority w:val="9"/>
    <w:rsid w:val="00B65835"/>
    <w:rPr>
      <w:rFonts w:ascii="Futura Condensed" w:hAnsi="Futura Condensed" w:cs="Futura Condensed"/>
      <w:b/>
    </w:rPr>
  </w:style>
  <w:style w:type="paragraph" w:styleId="En-tte">
    <w:name w:val="header"/>
    <w:basedOn w:val="Normal"/>
    <w:link w:val="En-tteCar"/>
    <w:uiPriority w:val="99"/>
    <w:unhideWhenUsed/>
    <w:rsid w:val="00230528"/>
    <w:pPr>
      <w:tabs>
        <w:tab w:val="center" w:pos="4536"/>
        <w:tab w:val="right" w:pos="9072"/>
      </w:tabs>
    </w:pPr>
  </w:style>
  <w:style w:type="character" w:customStyle="1" w:styleId="En-tteCar">
    <w:name w:val="En-tête Car"/>
    <w:basedOn w:val="Policepardfaut"/>
    <w:link w:val="En-tte"/>
    <w:uiPriority w:val="99"/>
    <w:rsid w:val="00230528"/>
  </w:style>
  <w:style w:type="paragraph" w:styleId="Pieddepage">
    <w:name w:val="footer"/>
    <w:basedOn w:val="Normal"/>
    <w:link w:val="PieddepageCar"/>
    <w:uiPriority w:val="99"/>
    <w:unhideWhenUsed/>
    <w:rsid w:val="00230528"/>
    <w:pPr>
      <w:tabs>
        <w:tab w:val="center" w:pos="4536"/>
        <w:tab w:val="right" w:pos="9072"/>
      </w:tabs>
    </w:pPr>
  </w:style>
  <w:style w:type="character" w:customStyle="1" w:styleId="PieddepageCar">
    <w:name w:val="Pied de page Car"/>
    <w:basedOn w:val="Policepardfaut"/>
    <w:link w:val="Pieddepage"/>
    <w:uiPriority w:val="99"/>
    <w:rsid w:val="00230528"/>
  </w:style>
  <w:style w:type="paragraph" w:styleId="Textedebulles">
    <w:name w:val="Balloon Text"/>
    <w:basedOn w:val="Normal"/>
    <w:link w:val="TextedebullesCar"/>
    <w:uiPriority w:val="99"/>
    <w:semiHidden/>
    <w:unhideWhenUsed/>
    <w:rsid w:val="0023052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0528"/>
    <w:rPr>
      <w:rFonts w:ascii="Lucida Grande" w:hAnsi="Lucida Grande" w:cs="Lucida Grande"/>
      <w:sz w:val="18"/>
      <w:szCs w:val="18"/>
    </w:rPr>
  </w:style>
  <w:style w:type="character" w:styleId="Lienhypertexte">
    <w:name w:val="Hyperlink"/>
    <w:basedOn w:val="Policepardfaut"/>
    <w:uiPriority w:val="99"/>
    <w:unhideWhenUsed/>
    <w:rsid w:val="000B29BC"/>
    <w:rPr>
      <w:color w:val="0000FF" w:themeColor="hyperlink"/>
      <w:u w:val="single"/>
    </w:rPr>
  </w:style>
  <w:style w:type="character" w:styleId="Numrodepage">
    <w:name w:val="page number"/>
    <w:basedOn w:val="Policepardfaut"/>
    <w:uiPriority w:val="99"/>
    <w:semiHidden/>
    <w:unhideWhenUsed/>
    <w:rsid w:val="00D47DE8"/>
  </w:style>
  <w:style w:type="character" w:styleId="Lienhypertextesuivivisit">
    <w:name w:val="FollowedHyperlink"/>
    <w:basedOn w:val="Policepardfaut"/>
    <w:uiPriority w:val="99"/>
    <w:semiHidden/>
    <w:unhideWhenUsed/>
    <w:rsid w:val="00D04826"/>
    <w:rPr>
      <w:color w:val="800080" w:themeColor="followedHyperlink"/>
      <w:u w:val="single"/>
    </w:rPr>
  </w:style>
  <w:style w:type="paragraph" w:styleId="Notedebasdepage">
    <w:name w:val="footnote text"/>
    <w:basedOn w:val="Normal"/>
    <w:link w:val="NotedebasdepageCar"/>
    <w:uiPriority w:val="99"/>
    <w:unhideWhenUsed/>
    <w:rsid w:val="00AF5039"/>
  </w:style>
  <w:style w:type="character" w:customStyle="1" w:styleId="NotedebasdepageCar">
    <w:name w:val="Note de bas de page Car"/>
    <w:basedOn w:val="Policepardfaut"/>
    <w:link w:val="Notedebasdepage"/>
    <w:uiPriority w:val="99"/>
    <w:rsid w:val="00AF5039"/>
  </w:style>
  <w:style w:type="character" w:styleId="Appelnotedebasdep">
    <w:name w:val="footnote reference"/>
    <w:basedOn w:val="Policepardfaut"/>
    <w:uiPriority w:val="99"/>
    <w:unhideWhenUsed/>
    <w:rsid w:val="00AF5039"/>
    <w:rPr>
      <w:vertAlign w:val="superscript"/>
    </w:rPr>
  </w:style>
  <w:style w:type="table" w:styleId="Grilledutableau">
    <w:name w:val="Table Grid"/>
    <w:basedOn w:val="TableauNormal"/>
    <w:uiPriority w:val="59"/>
    <w:rsid w:val="003E0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255">
      <w:bodyDiv w:val="1"/>
      <w:marLeft w:val="0"/>
      <w:marRight w:val="0"/>
      <w:marTop w:val="0"/>
      <w:marBottom w:val="0"/>
      <w:divBdr>
        <w:top w:val="none" w:sz="0" w:space="0" w:color="auto"/>
        <w:left w:val="none" w:sz="0" w:space="0" w:color="auto"/>
        <w:bottom w:val="none" w:sz="0" w:space="0" w:color="auto"/>
        <w:right w:val="none" w:sz="0" w:space="0" w:color="auto"/>
      </w:divBdr>
    </w:div>
    <w:div w:id="1357080458">
      <w:bodyDiv w:val="1"/>
      <w:marLeft w:val="0"/>
      <w:marRight w:val="0"/>
      <w:marTop w:val="0"/>
      <w:marBottom w:val="0"/>
      <w:divBdr>
        <w:top w:val="none" w:sz="0" w:space="0" w:color="auto"/>
        <w:left w:val="none" w:sz="0" w:space="0" w:color="auto"/>
        <w:bottom w:val="none" w:sz="0" w:space="0" w:color="auto"/>
        <w:right w:val="none" w:sz="0" w:space="0" w:color="auto"/>
      </w:divBdr>
    </w:div>
    <w:div w:id="1749108166">
      <w:bodyDiv w:val="1"/>
      <w:marLeft w:val="0"/>
      <w:marRight w:val="0"/>
      <w:marTop w:val="0"/>
      <w:marBottom w:val="0"/>
      <w:divBdr>
        <w:top w:val="none" w:sz="0" w:space="0" w:color="auto"/>
        <w:left w:val="none" w:sz="0" w:space="0" w:color="auto"/>
        <w:bottom w:val="none" w:sz="0" w:space="0" w:color="auto"/>
        <w:right w:val="none" w:sz="0" w:space="0" w:color="auto"/>
      </w:divBdr>
    </w:div>
    <w:div w:id="2036270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aetan.gasnot@universite-paris-saclay.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2359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ENS de Cachan</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Coquelle</dc:creator>
  <cp:lastModifiedBy>Frédéric Coquelle</cp:lastModifiedBy>
  <cp:revision>2</cp:revision>
  <dcterms:created xsi:type="dcterms:W3CDTF">2018-06-13T23:07:00Z</dcterms:created>
  <dcterms:modified xsi:type="dcterms:W3CDTF">2018-06-13T23:07:00Z</dcterms:modified>
</cp:coreProperties>
</file>